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08" w:rsidRPr="004F3608" w:rsidRDefault="004F3608" w:rsidP="004F3608">
      <w:pPr>
        <w:jc w:val="center"/>
        <w:rPr>
          <w:b/>
          <w:sz w:val="36"/>
          <w:szCs w:val="36"/>
          <w:u w:val="single"/>
        </w:rPr>
      </w:pPr>
      <w:r w:rsidRPr="004F3608">
        <w:rPr>
          <w:b/>
          <w:sz w:val="36"/>
          <w:szCs w:val="36"/>
          <w:u w:val="single"/>
        </w:rPr>
        <w:t>Required Charts and Graphs for the Online Lab Portfolio</w:t>
      </w:r>
    </w:p>
    <w:p w:rsidR="004F3608" w:rsidRDefault="004F3608">
      <w:pPr>
        <w:rPr>
          <w:b/>
          <w:sz w:val="36"/>
          <w:szCs w:val="36"/>
        </w:rPr>
      </w:pPr>
    </w:p>
    <w:p w:rsidR="00603732" w:rsidRDefault="004F3608">
      <w:pPr>
        <w:rPr>
          <w:b/>
          <w:sz w:val="36"/>
          <w:szCs w:val="36"/>
        </w:rPr>
      </w:pPr>
      <w:r w:rsidRPr="004F3608">
        <w:rPr>
          <w:b/>
          <w:sz w:val="36"/>
          <w:szCs w:val="36"/>
        </w:rPr>
        <w:t xml:space="preserve">Liver Enzyme Lab </w:t>
      </w: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  <w:r>
        <w:rPr>
          <w:sz w:val="36"/>
          <w:szCs w:val="36"/>
        </w:rPr>
        <w:t xml:space="preserve">The Effect of Temperature on Class Average Height of Bubbles Produced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F3608" w:rsidTr="004F3608">
        <w:tc>
          <w:tcPr>
            <w:tcW w:w="4788" w:type="dxa"/>
          </w:tcPr>
          <w:p w:rsidR="004F3608" w:rsidRDefault="004F360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Temperatures </w:t>
            </w:r>
          </w:p>
        </w:tc>
        <w:tc>
          <w:tcPr>
            <w:tcW w:w="4788" w:type="dxa"/>
          </w:tcPr>
          <w:p w:rsidR="004F3608" w:rsidRDefault="004F360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Class Average Height of Bubbles (in cm)</w:t>
            </w:r>
          </w:p>
        </w:tc>
      </w:tr>
      <w:tr w:rsidR="004F3608" w:rsidTr="004F3608">
        <w:tc>
          <w:tcPr>
            <w:tcW w:w="4788" w:type="dxa"/>
          </w:tcPr>
          <w:p w:rsidR="004F3608" w:rsidRDefault="004F360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Warm</w:t>
            </w:r>
          </w:p>
        </w:tc>
        <w:tc>
          <w:tcPr>
            <w:tcW w:w="4788" w:type="dxa"/>
          </w:tcPr>
          <w:p w:rsidR="004F3608" w:rsidRDefault="004F3608">
            <w:pPr>
              <w:rPr>
                <w:sz w:val="36"/>
                <w:szCs w:val="36"/>
              </w:rPr>
            </w:pPr>
          </w:p>
        </w:tc>
      </w:tr>
      <w:tr w:rsidR="004F3608" w:rsidTr="004F3608">
        <w:tc>
          <w:tcPr>
            <w:tcW w:w="4788" w:type="dxa"/>
          </w:tcPr>
          <w:p w:rsidR="004F3608" w:rsidRDefault="004F360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Room Temp</w:t>
            </w:r>
          </w:p>
        </w:tc>
        <w:tc>
          <w:tcPr>
            <w:tcW w:w="4788" w:type="dxa"/>
          </w:tcPr>
          <w:p w:rsidR="004F3608" w:rsidRDefault="004F3608">
            <w:pPr>
              <w:rPr>
                <w:sz w:val="36"/>
                <w:szCs w:val="36"/>
              </w:rPr>
            </w:pPr>
          </w:p>
        </w:tc>
      </w:tr>
      <w:tr w:rsidR="004F3608" w:rsidTr="004F3608">
        <w:tc>
          <w:tcPr>
            <w:tcW w:w="4788" w:type="dxa"/>
          </w:tcPr>
          <w:p w:rsidR="004F3608" w:rsidRDefault="004F360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Cold</w:t>
            </w:r>
          </w:p>
        </w:tc>
        <w:tc>
          <w:tcPr>
            <w:tcW w:w="4788" w:type="dxa"/>
          </w:tcPr>
          <w:p w:rsidR="004F3608" w:rsidRDefault="004F3608">
            <w:pPr>
              <w:rPr>
                <w:sz w:val="36"/>
                <w:szCs w:val="36"/>
              </w:rPr>
            </w:pPr>
          </w:p>
        </w:tc>
      </w:tr>
    </w:tbl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  <w:r w:rsidRPr="004F3608">
        <w:rPr>
          <w:sz w:val="36"/>
          <w:szCs w:val="36"/>
        </w:rPr>
        <w:drawing>
          <wp:inline distT="0" distB="0" distL="0" distR="0" wp14:anchorId="2C94AD52" wp14:editId="5EC9FF06">
            <wp:extent cx="5432007" cy="33226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2007" cy="3322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608" w:rsidRDefault="004F3608">
      <w:pPr>
        <w:rPr>
          <w:sz w:val="36"/>
          <w:szCs w:val="36"/>
        </w:rPr>
      </w:pPr>
    </w:p>
    <w:p w:rsidR="004F3608" w:rsidRDefault="004F3608" w:rsidP="004F3608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The Effect of </w:t>
      </w:r>
      <w:r>
        <w:rPr>
          <w:sz w:val="36"/>
          <w:szCs w:val="36"/>
        </w:rPr>
        <w:t>pH</w:t>
      </w:r>
      <w:r>
        <w:rPr>
          <w:sz w:val="36"/>
          <w:szCs w:val="36"/>
        </w:rPr>
        <w:t xml:space="preserve"> on Class Average Height of Bubbles Produced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pH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Class Average Height of Bubbles (in cm)</w:t>
            </w:r>
          </w:p>
        </w:tc>
      </w:tr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</w:p>
        </w:tc>
      </w:tr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</w:p>
        </w:tc>
      </w:tr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</w:p>
        </w:tc>
      </w:tr>
    </w:tbl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  <w:r w:rsidRPr="004F3608">
        <w:rPr>
          <w:sz w:val="36"/>
          <w:szCs w:val="36"/>
        </w:rPr>
        <w:drawing>
          <wp:inline distT="0" distB="0" distL="0" distR="0" wp14:anchorId="766505DD" wp14:editId="15204526">
            <wp:extent cx="5273497" cy="343234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497" cy="34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Potato Osmosis Lab:</w:t>
      </w: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  <w:r w:rsidRPr="004F3608">
        <w:rPr>
          <w:sz w:val="36"/>
          <w:szCs w:val="36"/>
        </w:rPr>
        <w:t xml:space="preserve">The Effect of External Solution Sucrose Concentration on </w:t>
      </w:r>
      <w:r>
        <w:rPr>
          <w:sz w:val="36"/>
          <w:szCs w:val="36"/>
        </w:rPr>
        <w:t xml:space="preserve">Class Average </w:t>
      </w:r>
      <w:r w:rsidRPr="004F3608">
        <w:rPr>
          <w:sz w:val="36"/>
          <w:szCs w:val="36"/>
        </w:rPr>
        <w:t>Percent Mass Change of Potato Cores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External Solution Sucrose Concentration (M)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Class Average % Mass Change</w:t>
            </w:r>
          </w:p>
        </w:tc>
      </w:tr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0.0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</w:p>
        </w:tc>
      </w:tr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0.2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</w:p>
        </w:tc>
      </w:tr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0.4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</w:p>
        </w:tc>
      </w:tr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0.6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</w:p>
        </w:tc>
      </w:tr>
      <w:tr w:rsidR="004F3608" w:rsidTr="000C1C42"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0.8</w:t>
            </w:r>
          </w:p>
        </w:tc>
        <w:tc>
          <w:tcPr>
            <w:tcW w:w="4788" w:type="dxa"/>
          </w:tcPr>
          <w:p w:rsidR="004F3608" w:rsidRDefault="004F3608" w:rsidP="000C1C42">
            <w:pPr>
              <w:rPr>
                <w:sz w:val="36"/>
                <w:szCs w:val="36"/>
              </w:rPr>
            </w:pPr>
          </w:p>
        </w:tc>
      </w:tr>
    </w:tbl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1EF21E0C" wp14:editId="3125891A">
            <wp:extent cx="6125592" cy="2628900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5592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Cellular Respiration Lab:</w:t>
      </w:r>
    </w:p>
    <w:p w:rsidR="004F3608" w:rsidRDefault="004F3608">
      <w:pPr>
        <w:rPr>
          <w:b/>
          <w:sz w:val="36"/>
          <w:szCs w:val="36"/>
        </w:rPr>
      </w:pPr>
    </w:p>
    <w:p w:rsidR="004F3608" w:rsidRPr="004F3608" w:rsidRDefault="004F3608">
      <w:pPr>
        <w:rPr>
          <w:i/>
          <w:sz w:val="36"/>
          <w:szCs w:val="36"/>
        </w:rPr>
      </w:pPr>
      <w:r w:rsidRPr="004F3608">
        <w:rPr>
          <w:i/>
          <w:sz w:val="36"/>
          <w:szCs w:val="36"/>
        </w:rPr>
        <w:t>(Note: This is the individual group data chart that was used to make the graph below.  If you group did not get “good” results, you can use the</w:t>
      </w:r>
      <w:r>
        <w:rPr>
          <w:i/>
          <w:sz w:val="36"/>
          <w:szCs w:val="36"/>
        </w:rPr>
        <w:t xml:space="preserve"> sample</w:t>
      </w:r>
      <w:r w:rsidRPr="004F3608">
        <w:rPr>
          <w:i/>
          <w:sz w:val="36"/>
          <w:szCs w:val="36"/>
        </w:rPr>
        <w:t xml:space="preserve"> chart and graph given below!)</w:t>
      </w: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4C0DF9A5" wp14:editId="59290112">
            <wp:extent cx="6559397" cy="151440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62740" cy="151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4C035023" wp14:editId="58DDCF5C">
            <wp:extent cx="5943600" cy="3162300"/>
            <wp:effectExtent l="0" t="0" r="19050" b="1905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F3608" w:rsidRDefault="004F3608">
      <w:pPr>
        <w:rPr>
          <w:b/>
          <w:sz w:val="36"/>
          <w:szCs w:val="36"/>
        </w:rPr>
      </w:pPr>
    </w:p>
    <w:p w:rsidR="004F3608" w:rsidRPr="004F3608" w:rsidRDefault="004F3608">
      <w:pPr>
        <w:rPr>
          <w:sz w:val="36"/>
          <w:szCs w:val="36"/>
        </w:rPr>
      </w:pPr>
      <w:r w:rsidRPr="004F3608">
        <w:rPr>
          <w:sz w:val="36"/>
          <w:szCs w:val="36"/>
        </w:rPr>
        <w:lastRenderedPageBreak/>
        <w:t xml:space="preserve">The Effect of Pea Germination State on </w:t>
      </w:r>
      <w:r>
        <w:rPr>
          <w:sz w:val="36"/>
          <w:szCs w:val="36"/>
        </w:rPr>
        <w:t xml:space="preserve">Class Average </w:t>
      </w:r>
      <w:r w:rsidRPr="004F3608">
        <w:rPr>
          <w:sz w:val="36"/>
          <w:szCs w:val="36"/>
        </w:rPr>
        <w:t>Change in Volume of Oxygen Over 20 Minutes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F3608" w:rsidRPr="004F3608" w:rsidTr="004F3608">
        <w:tc>
          <w:tcPr>
            <w:tcW w:w="4788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  <w:r w:rsidRPr="004F3608">
              <w:rPr>
                <w:sz w:val="36"/>
                <w:szCs w:val="36"/>
              </w:rPr>
              <w:t>Contents of the Vial (Pea Germination State)</w:t>
            </w:r>
          </w:p>
        </w:tc>
        <w:tc>
          <w:tcPr>
            <w:tcW w:w="4788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  <w:r w:rsidRPr="004F3608">
              <w:rPr>
                <w:sz w:val="36"/>
                <w:szCs w:val="36"/>
              </w:rPr>
              <w:t>Class Average Change in Volume of Oxygen over 20 minutes (in mL)</w:t>
            </w:r>
          </w:p>
        </w:tc>
      </w:tr>
      <w:tr w:rsidR="004F3608" w:rsidRPr="004F3608" w:rsidTr="004F3608">
        <w:tc>
          <w:tcPr>
            <w:tcW w:w="4788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  <w:r w:rsidRPr="004F3608">
              <w:rPr>
                <w:sz w:val="36"/>
                <w:szCs w:val="36"/>
              </w:rPr>
              <w:t>Germinating Peas</w:t>
            </w:r>
          </w:p>
        </w:tc>
        <w:tc>
          <w:tcPr>
            <w:tcW w:w="4788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</w:p>
        </w:tc>
      </w:tr>
      <w:tr w:rsidR="004F3608" w:rsidRPr="004F3608" w:rsidTr="004F3608">
        <w:tc>
          <w:tcPr>
            <w:tcW w:w="4788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  <w:r w:rsidRPr="004F3608">
              <w:rPr>
                <w:sz w:val="36"/>
                <w:szCs w:val="36"/>
              </w:rPr>
              <w:t>Non-Germinating Peas + Plastic Beads</w:t>
            </w:r>
          </w:p>
        </w:tc>
        <w:tc>
          <w:tcPr>
            <w:tcW w:w="4788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</w:p>
        </w:tc>
      </w:tr>
      <w:tr w:rsidR="004F3608" w:rsidRPr="004F3608" w:rsidTr="004F3608">
        <w:tc>
          <w:tcPr>
            <w:tcW w:w="4788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  <w:r w:rsidRPr="004F3608">
              <w:rPr>
                <w:sz w:val="36"/>
                <w:szCs w:val="36"/>
              </w:rPr>
              <w:t>Plastic Beads Only</w:t>
            </w:r>
          </w:p>
        </w:tc>
        <w:tc>
          <w:tcPr>
            <w:tcW w:w="4788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</w:p>
        </w:tc>
      </w:tr>
    </w:tbl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</w:p>
    <w:p w:rsidR="004F3608" w:rsidRDefault="004F3608">
      <w:pPr>
        <w:rPr>
          <w:b/>
          <w:sz w:val="36"/>
          <w:szCs w:val="36"/>
        </w:rPr>
      </w:pPr>
      <w:r w:rsidRPr="004F3608">
        <w:rPr>
          <w:b/>
          <w:sz w:val="36"/>
          <w:szCs w:val="36"/>
        </w:rPr>
        <w:lastRenderedPageBreak/>
        <w:t>Animal Behavior Lab</w:t>
      </w:r>
    </w:p>
    <w:p w:rsidR="004F3608" w:rsidRPr="004F3608" w:rsidRDefault="004F3608">
      <w:pPr>
        <w:rPr>
          <w:b/>
          <w:sz w:val="36"/>
          <w:szCs w:val="36"/>
        </w:rPr>
      </w:pPr>
    </w:p>
    <w:p w:rsidR="004F3608" w:rsidRPr="004F3608" w:rsidRDefault="004F3608">
      <w:pPr>
        <w:rPr>
          <w:sz w:val="36"/>
          <w:szCs w:val="36"/>
        </w:rPr>
      </w:pPr>
      <w:r w:rsidRPr="004F3608">
        <w:rPr>
          <w:sz w:val="36"/>
          <w:szCs w:val="36"/>
        </w:rPr>
        <w:t>The Effect of Environment (Light vs. Dark Paper) on the Movement of Worms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F3608" w:rsidTr="004F3608">
        <w:tc>
          <w:tcPr>
            <w:tcW w:w="3192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</w:p>
        </w:tc>
        <w:tc>
          <w:tcPr>
            <w:tcW w:w="3192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  <w:r w:rsidRPr="004F3608">
              <w:rPr>
                <w:sz w:val="36"/>
                <w:szCs w:val="36"/>
              </w:rPr>
              <w:t>Amount of Worms on the Light Side</w:t>
            </w:r>
          </w:p>
        </w:tc>
        <w:tc>
          <w:tcPr>
            <w:tcW w:w="3192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  <w:r w:rsidRPr="004F3608">
              <w:rPr>
                <w:sz w:val="36"/>
                <w:szCs w:val="36"/>
              </w:rPr>
              <w:t>Amount of Worms on the Dark Side</w:t>
            </w:r>
          </w:p>
        </w:tc>
      </w:tr>
      <w:tr w:rsidR="004F3608" w:rsidTr="004F3608">
        <w:tc>
          <w:tcPr>
            <w:tcW w:w="3192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  <w:r w:rsidRPr="004F3608">
              <w:rPr>
                <w:sz w:val="36"/>
                <w:szCs w:val="36"/>
              </w:rPr>
              <w:t>Individual Group Average Number of Worms over 20 minutes</w:t>
            </w:r>
          </w:p>
        </w:tc>
        <w:tc>
          <w:tcPr>
            <w:tcW w:w="3192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</w:p>
        </w:tc>
        <w:tc>
          <w:tcPr>
            <w:tcW w:w="3192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</w:p>
        </w:tc>
      </w:tr>
      <w:tr w:rsidR="004F3608" w:rsidTr="004F3608">
        <w:tc>
          <w:tcPr>
            <w:tcW w:w="3192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  <w:r w:rsidRPr="004F3608">
              <w:rPr>
                <w:sz w:val="36"/>
                <w:szCs w:val="36"/>
              </w:rPr>
              <w:t>Class Sum of Individual Group Average Numbers of Worms over 20 Minutes</w:t>
            </w:r>
          </w:p>
        </w:tc>
        <w:tc>
          <w:tcPr>
            <w:tcW w:w="3192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</w:p>
        </w:tc>
        <w:tc>
          <w:tcPr>
            <w:tcW w:w="3192" w:type="dxa"/>
          </w:tcPr>
          <w:p w:rsidR="004F3608" w:rsidRPr="004F3608" w:rsidRDefault="004F3608">
            <w:pPr>
              <w:rPr>
                <w:sz w:val="36"/>
                <w:szCs w:val="36"/>
              </w:rPr>
            </w:pPr>
          </w:p>
        </w:tc>
      </w:tr>
    </w:tbl>
    <w:p w:rsidR="004F3608" w:rsidRDefault="004F3608">
      <w:pPr>
        <w:rPr>
          <w:b/>
          <w:sz w:val="36"/>
          <w:szCs w:val="36"/>
        </w:rPr>
      </w:pPr>
    </w:p>
    <w:p w:rsidR="004F3608" w:rsidRPr="004F3608" w:rsidRDefault="004F3608">
      <w:pPr>
        <w:rPr>
          <w:i/>
          <w:sz w:val="36"/>
          <w:szCs w:val="36"/>
        </w:rPr>
      </w:pPr>
      <w:r>
        <w:rPr>
          <w:i/>
          <w:sz w:val="36"/>
          <w:szCs w:val="36"/>
        </w:rPr>
        <w:t>(Note: There is n</w:t>
      </w:r>
      <w:r w:rsidRPr="004F3608">
        <w:rPr>
          <w:i/>
          <w:sz w:val="36"/>
          <w:szCs w:val="36"/>
        </w:rPr>
        <w:t>o graph necessary</w:t>
      </w:r>
      <w:r>
        <w:rPr>
          <w:i/>
          <w:sz w:val="36"/>
          <w:szCs w:val="36"/>
        </w:rPr>
        <w:t xml:space="preserve"> for this lab.)</w:t>
      </w:r>
      <w:bookmarkStart w:id="0" w:name="_GoBack"/>
      <w:bookmarkEnd w:id="0"/>
    </w:p>
    <w:sectPr w:rsidR="004F3608" w:rsidRPr="004F3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608"/>
    <w:rsid w:val="004F3608"/>
    <w:rsid w:val="0060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3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3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6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ttolike\Downloads\My%20Cellular%20Respiration%20Lab%20-%202013%202014%20-%20Data%20-%20Period%205%20(3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Measurements</a:t>
            </a:r>
            <a:r>
              <a:rPr lang="en-US" baseline="0"/>
              <a:t> of Oxygen Gas Volumes in Respirometers over Time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0"/>
            <c:dispEq val="1"/>
            <c:trendlineLbl>
              <c:layout>
                <c:manualLayout>
                  <c:x val="0.35865054344221053"/>
                  <c:y val="-0.3807374651234498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Series 1: y = -0.152x + 9.34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'[My Cellular Respiration Lab - 2013 2014 - Data - Period 5 (3).xlsx]Sheet1'!$A$5:$A$9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'[My Cellular Respiration Lab - 2013 2014 - Data - Period 5 (3).xlsx]Sheet1'!$B$5:$B$9</c:f>
              <c:numCache>
                <c:formatCode>General</c:formatCode>
                <c:ptCount val="5"/>
                <c:pt idx="0">
                  <c:v>9.3000000000000007</c:v>
                </c:pt>
                <c:pt idx="1">
                  <c:v>8.6999999999999993</c:v>
                </c:pt>
                <c:pt idx="2">
                  <c:v>7.8</c:v>
                </c:pt>
                <c:pt idx="3">
                  <c:v>6.9</c:v>
                </c:pt>
                <c:pt idx="4">
                  <c:v>6.4</c:v>
                </c:pt>
              </c:numCache>
            </c:numRef>
          </c:yVal>
          <c:smooth val="0"/>
        </c:ser>
        <c:ser>
          <c:idx val="1"/>
          <c:order val="1"/>
          <c:spPr>
            <a:ln w="28575">
              <a:noFill/>
            </a:ln>
          </c:spPr>
          <c:trendline>
            <c:trendlineType val="linear"/>
            <c:dispRSqr val="0"/>
            <c:dispEq val="1"/>
            <c:trendlineLbl>
              <c:layout>
                <c:manualLayout>
                  <c:x val="0.36675590551181103"/>
                  <c:y val="-0.11048410615339749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Series 2: y = -0.016x + 9.56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trendline>
            <c:trendlineType val="linear"/>
            <c:dispRSqr val="0"/>
            <c:dispEq val="0"/>
          </c:trendline>
          <c:xVal>
            <c:numRef>
              <c:f>'[My Cellular Respiration Lab - 2013 2014 - Data - Period 5 (3).xlsx]Sheet1'!$A$5:$A$9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'[My Cellular Respiration Lab - 2013 2014 - Data - Period 5 (3).xlsx]Sheet1'!$C$5:$C$9</c:f>
              <c:numCache>
                <c:formatCode>General</c:formatCode>
                <c:ptCount val="5"/>
                <c:pt idx="0">
                  <c:v>9.5</c:v>
                </c:pt>
                <c:pt idx="1">
                  <c:v>9.5</c:v>
                </c:pt>
                <c:pt idx="2">
                  <c:v>9.5</c:v>
                </c:pt>
                <c:pt idx="3">
                  <c:v>9.3000000000000007</c:v>
                </c:pt>
                <c:pt idx="4">
                  <c:v>9.1999999999999993</c:v>
                </c:pt>
              </c:numCache>
            </c:numRef>
          </c:yVal>
          <c:smooth val="0"/>
        </c:ser>
        <c:ser>
          <c:idx val="2"/>
          <c:order val="2"/>
          <c:spPr>
            <a:ln w="28575">
              <a:noFill/>
            </a:ln>
          </c:spPr>
          <c:trendline>
            <c:trendlineType val="linear"/>
            <c:dispRSqr val="0"/>
            <c:dispEq val="1"/>
            <c:trendlineLbl>
              <c:layout>
                <c:manualLayout>
                  <c:x val="0.32680214319539597"/>
                  <c:y val="-2.4829546736457368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Series 3: y = 9.5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'[My Cellular Respiration Lab - 2013 2014 - Data - Period 5 (3).xlsx]Sheet1'!$A$5:$A$9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'[My Cellular Respiration Lab - 2013 2014 - Data - Period 5 (3).xlsx]Sheet1'!$D$5:$D$9</c:f>
              <c:numCache>
                <c:formatCode>General</c:formatCode>
                <c:ptCount val="5"/>
                <c:pt idx="0">
                  <c:v>9.5</c:v>
                </c:pt>
                <c:pt idx="1">
                  <c:v>9.5</c:v>
                </c:pt>
                <c:pt idx="2">
                  <c:v>9.5</c:v>
                </c:pt>
                <c:pt idx="3">
                  <c:v>9.5</c:v>
                </c:pt>
                <c:pt idx="4">
                  <c:v>9.5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370496"/>
        <c:axId val="35372416"/>
      </c:scatterChart>
      <c:valAx>
        <c:axId val="353704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(in Minutes)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5372416"/>
        <c:crosses val="autoZero"/>
        <c:crossBetween val="midCat"/>
      </c:valAx>
      <c:valAx>
        <c:axId val="3537241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Oxygen</a:t>
                </a:r>
                <a:r>
                  <a:rPr lang="en-US" baseline="0"/>
                  <a:t> Gas Volume Reading in Respirometer  (in mL)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537049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E1F95-67CB-462F-B2C7-8D1C359C9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 Users</dc:creator>
  <cp:lastModifiedBy>PWCS Users</cp:lastModifiedBy>
  <cp:revision>1</cp:revision>
  <dcterms:created xsi:type="dcterms:W3CDTF">2015-06-05T16:53:00Z</dcterms:created>
  <dcterms:modified xsi:type="dcterms:W3CDTF">2015-06-05T17:28:00Z</dcterms:modified>
</cp:coreProperties>
</file>